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W w:w="816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8169" w:type="dxa"/>
            <w:shd w:val="clear" w:color="auto" w:fill="auto"/>
            <w:vAlign w:val="center"/>
          </w:tcPr>
          <w:tbl>
            <w:tblPr>
              <w:tblStyle w:val="6"/>
              <w:tblW w:w="8134" w:type="dxa"/>
              <w:jc w:val="center"/>
              <w:tblInd w:w="5" w:type="dxa"/>
              <w:shd w:val="clear" w:color="auto" w:fill="auto"/>
              <w:tblLayout w:type="fixed"/>
              <w:tblCellMar>
                <w:top w:w="0" w:type="dxa"/>
                <w:left w:w="0" w:type="dxa"/>
                <w:bottom w:w="0" w:type="dxa"/>
                <w:right w:w="0" w:type="dxa"/>
              </w:tblCellMar>
            </w:tblPr>
            <w:tblGrid>
              <w:gridCol w:w="8134"/>
            </w:tblGrid>
            <w:tr>
              <w:tblPrEx>
                <w:shd w:val="clear" w:color="auto" w:fill="auto"/>
                <w:tblLayout w:type="fixed"/>
                <w:tblCellMar>
                  <w:top w:w="0" w:type="dxa"/>
                  <w:left w:w="0" w:type="dxa"/>
                  <w:bottom w:w="0" w:type="dxa"/>
                  <w:right w:w="0" w:type="dxa"/>
                </w:tblCellMar>
              </w:tblPrEx>
              <w:trPr>
                <w:jc w:val="center"/>
              </w:trPr>
              <w:tc>
                <w:tcPr>
                  <w:tcW w:w="8134" w:type="dxa"/>
                  <w:shd w:val="clear" w:color="auto" w:fill="auto"/>
                  <w:vAlign w:val="center"/>
                </w:tcPr>
                <w:tbl>
                  <w:tblPr>
                    <w:tblStyle w:val="6"/>
                    <w:tblW w:w="8138" w:type="dxa"/>
                    <w:jc w:val="center"/>
                    <w:tblInd w:w="0" w:type="dxa"/>
                    <w:shd w:val="clear" w:color="auto" w:fill="auto"/>
                    <w:tblLayout w:type="fixed"/>
                    <w:tblCellMar>
                      <w:top w:w="0" w:type="dxa"/>
                      <w:left w:w="0" w:type="dxa"/>
                      <w:bottom w:w="0" w:type="dxa"/>
                      <w:right w:w="0" w:type="dxa"/>
                    </w:tblCellMar>
                  </w:tblPr>
                  <w:tblGrid>
                    <w:gridCol w:w="6455"/>
                    <w:gridCol w:w="1683"/>
                  </w:tblGrid>
                  <w:tr>
                    <w:tblPrEx>
                      <w:shd w:val="clear" w:color="auto" w:fill="auto"/>
                      <w:tblLayout w:type="fixed"/>
                      <w:tblCellMar>
                        <w:top w:w="0" w:type="dxa"/>
                        <w:left w:w="0" w:type="dxa"/>
                        <w:bottom w:w="0" w:type="dxa"/>
                        <w:right w:w="0" w:type="dxa"/>
                      </w:tblCellMar>
                    </w:tblPrEx>
                    <w:trPr>
                      <w:jc w:val="center"/>
                    </w:trPr>
                    <w:tc>
                      <w:tcPr>
                        <w:tcW w:w="6455" w:type="dxa"/>
                        <w:shd w:val="clear" w:color="auto" w:fill="auto"/>
                        <w:vAlign w:val="center"/>
                      </w:tcPr>
                      <w:p>
                        <w:pPr>
                          <w:keepNext w:val="0"/>
                          <w:keepLines w:val="0"/>
                          <w:widowControl/>
                          <w:suppressLineNumbers w:val="0"/>
                          <w:spacing w:line="288" w:lineRule="auto"/>
                          <w:jc w:val="both"/>
                          <w:rPr>
                            <w:rFonts w:hint="eastAsia" w:ascii="宋体" w:hAnsi="宋体" w:eastAsia="宋体" w:cs="宋体"/>
                            <w:b/>
                            <w:color w:val="FF0000"/>
                            <w:sz w:val="36"/>
                            <w:szCs w:val="36"/>
                            <w:u w:val="none"/>
                          </w:rPr>
                        </w:pPr>
                        <w:r>
                          <w:rPr>
                            <w:rFonts w:hint="eastAsia" w:ascii="宋体" w:hAnsi="宋体" w:eastAsia="宋体" w:cs="宋体"/>
                            <w:b/>
                            <w:color w:val="FF0000"/>
                            <w:kern w:val="0"/>
                            <w:sz w:val="36"/>
                            <w:szCs w:val="36"/>
                            <w:u w:val="none"/>
                            <w:lang w:val="en-US" w:eastAsia="zh-CN" w:bidi="ar"/>
                          </w:rPr>
                          <w:t>杭州市人力资源和社会保障局</w:t>
                        </w:r>
                      </w:p>
                    </w:tc>
                    <w:tc>
                      <w:tcPr>
                        <w:tcW w:w="1683" w:type="dxa"/>
                        <w:vMerge w:val="restar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left"/>
                          <w:rPr>
                            <w:rFonts w:hint="eastAsia" w:ascii="宋体" w:hAnsi="宋体" w:eastAsia="宋体" w:cs="宋体"/>
                            <w:b/>
                            <w:color w:val="FF0000"/>
                            <w:sz w:val="54"/>
                            <w:szCs w:val="54"/>
                            <w:u w:val="none"/>
                          </w:rPr>
                        </w:pPr>
                        <w:r>
                          <w:rPr>
                            <w:rStyle w:val="3"/>
                            <w:rFonts w:hint="eastAsia" w:ascii="宋体" w:hAnsi="宋体" w:eastAsia="宋体" w:cs="宋体"/>
                            <w:color w:val="FF0000"/>
                            <w:kern w:val="0"/>
                            <w:sz w:val="54"/>
                            <w:szCs w:val="54"/>
                            <w:u w:val="none"/>
                            <w:lang w:val="en-US" w:eastAsia="zh-CN" w:bidi="ar"/>
                          </w:rPr>
                          <w:t>文件</w:t>
                        </w:r>
                      </w:p>
                    </w:tc>
                  </w:tr>
                  <w:tr>
                    <w:tblPrEx>
                      <w:tblLayout w:type="fixed"/>
                      <w:tblCellMar>
                        <w:top w:w="0" w:type="dxa"/>
                        <w:left w:w="0" w:type="dxa"/>
                        <w:bottom w:w="0" w:type="dxa"/>
                        <w:right w:w="0" w:type="dxa"/>
                      </w:tblCellMar>
                    </w:tblPrEx>
                    <w:trPr>
                      <w:jc w:val="center"/>
                    </w:trPr>
                    <w:tc>
                      <w:tcPr>
                        <w:tcW w:w="6455" w:type="dxa"/>
                        <w:shd w:val="clear" w:color="auto" w:fill="auto"/>
                        <w:vAlign w:val="center"/>
                      </w:tcPr>
                      <w:p>
                        <w:pPr>
                          <w:keepNext w:val="0"/>
                          <w:keepLines w:val="0"/>
                          <w:widowControl/>
                          <w:suppressLineNumbers w:val="0"/>
                          <w:spacing w:line="288" w:lineRule="auto"/>
                          <w:jc w:val="left"/>
                          <w:rPr>
                            <w:rFonts w:hint="eastAsia" w:ascii="宋体" w:hAnsi="宋体" w:eastAsia="宋体" w:cs="宋体"/>
                            <w:b/>
                            <w:color w:val="FF0000"/>
                            <w:spacing w:val="525"/>
                            <w:sz w:val="36"/>
                            <w:szCs w:val="36"/>
                            <w:u w:val="none"/>
                          </w:rPr>
                        </w:pPr>
                        <w:r>
                          <w:rPr>
                            <w:rFonts w:hint="eastAsia" w:ascii="宋体" w:hAnsi="宋体" w:eastAsia="宋体" w:cs="宋体"/>
                            <w:b/>
                            <w:color w:val="FF0000"/>
                            <w:kern w:val="0"/>
                            <w:sz w:val="36"/>
                            <w:szCs w:val="36"/>
                            <w:u w:val="none"/>
                            <w:lang w:val="en-US" w:eastAsia="zh-CN" w:bidi="ar"/>
                          </w:rPr>
                          <w:t>杭  州  市  财  政  局</w:t>
                        </w:r>
                      </w:p>
                    </w:tc>
                    <w:tc>
                      <w:tcPr>
                        <w:tcW w:w="1683" w:type="dxa"/>
                        <w:vMerge w:val="continue"/>
                        <w:shd w:val="clear" w:color="auto" w:fill="auto"/>
                        <w:vAlign w:val="center"/>
                      </w:tcPr>
                      <w:p>
                        <w:pPr>
                          <w:jc w:val="both"/>
                          <w:rPr>
                            <w:rFonts w:hint="eastAsia" w:ascii="宋体" w:hAnsi="宋体" w:eastAsia="宋体" w:cs="宋体"/>
                            <w:b/>
                            <w:color w:val="FF0000"/>
                            <w:sz w:val="54"/>
                            <w:szCs w:val="54"/>
                            <w:u w:val="none"/>
                          </w:rPr>
                        </w:pPr>
                      </w:p>
                    </w:tc>
                  </w:tr>
                </w:tbl>
                <w:p>
                  <w:pPr>
                    <w:spacing w:line="15" w:lineRule="atLeast"/>
                    <w:jc w:val="both"/>
                  </w:pPr>
                </w:p>
              </w:tc>
            </w:tr>
          </w:tbl>
          <w:p>
            <w:pPr>
              <w:rPr>
                <w:vanish/>
                <w:sz w:val="24"/>
                <w:szCs w:val="24"/>
              </w:rPr>
            </w:pPr>
          </w:p>
          <w:tbl>
            <w:tblPr>
              <w:tblStyle w:val="6"/>
              <w:tblW w:w="8057" w:type="dxa"/>
              <w:jc w:val="center"/>
              <w:tblInd w:w="41" w:type="dxa"/>
              <w:shd w:val="clear" w:color="auto" w:fill="auto"/>
              <w:tblLayout w:type="fixed"/>
              <w:tblCellMar>
                <w:top w:w="45" w:type="dxa"/>
                <w:left w:w="45" w:type="dxa"/>
                <w:bottom w:w="45" w:type="dxa"/>
                <w:right w:w="45" w:type="dxa"/>
              </w:tblCellMar>
            </w:tblPr>
            <w:tblGrid>
              <w:gridCol w:w="8057"/>
            </w:tblGrid>
            <w:tr>
              <w:tblPrEx>
                <w:tblLayout w:type="fixed"/>
                <w:tblCellMar>
                  <w:top w:w="45" w:type="dxa"/>
                  <w:left w:w="45" w:type="dxa"/>
                  <w:bottom w:w="45" w:type="dxa"/>
                  <w:right w:w="45" w:type="dxa"/>
                </w:tblCellMar>
              </w:tblPrEx>
              <w:trPr>
                <w:jc w:val="center"/>
              </w:trPr>
              <w:tc>
                <w:tcPr>
                  <w:tcW w:w="805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center"/>
                    <w:rPr>
                      <w:sz w:val="18"/>
                      <w:szCs w:val="18"/>
                    </w:rPr>
                  </w:pPr>
                  <w:r>
                    <w:rPr>
                      <w:rFonts w:ascii="宋体" w:hAnsi="宋体" w:eastAsia="宋体" w:cs="宋体"/>
                      <w:kern w:val="0"/>
                      <w:sz w:val="18"/>
                      <w:szCs w:val="18"/>
                      <w:lang w:val="en-US" w:eastAsia="zh-CN" w:bidi="ar"/>
                    </w:rPr>
                    <w:t>杭人社发[2017]106号</w:t>
                  </w:r>
                </w:p>
              </w:tc>
            </w:tr>
          </w:tbl>
          <w:p>
            <w:pPr>
              <w:rPr>
                <w:vanish/>
                <w:sz w:val="24"/>
                <w:szCs w:val="24"/>
              </w:rPr>
            </w:pPr>
          </w:p>
          <w:tbl>
            <w:tblPr>
              <w:tblStyle w:val="6"/>
              <w:tblW w:w="8057" w:type="dxa"/>
              <w:jc w:val="center"/>
              <w:tblInd w:w="41" w:type="dxa"/>
              <w:shd w:val="clear" w:color="auto" w:fill="auto"/>
              <w:tblLayout w:type="fixed"/>
              <w:tblCellMar>
                <w:top w:w="45" w:type="dxa"/>
                <w:left w:w="45" w:type="dxa"/>
                <w:bottom w:w="45" w:type="dxa"/>
                <w:right w:w="45" w:type="dxa"/>
              </w:tblCellMar>
            </w:tblPr>
            <w:tblGrid>
              <w:gridCol w:w="8057"/>
            </w:tblGrid>
            <w:tr>
              <w:tblPrEx>
                <w:tblLayout w:type="fixed"/>
                <w:tblCellMar>
                  <w:top w:w="45" w:type="dxa"/>
                  <w:left w:w="45" w:type="dxa"/>
                  <w:bottom w:w="45" w:type="dxa"/>
                  <w:right w:w="45" w:type="dxa"/>
                </w:tblCellMar>
              </w:tblPrEx>
              <w:trPr>
                <w:trHeight w:val="121" w:hRule="atLeast"/>
                <w:jc w:val="center"/>
              </w:trPr>
              <w:tc>
                <w:tcPr>
                  <w:tcW w:w="8057" w:type="dxa"/>
                  <w:shd w:val="clear" w:color="auto" w:fill="auto"/>
                  <w:vAlign w:val="center"/>
                </w:tcPr>
                <w:p>
                  <w:pPr>
                    <w:rPr>
                      <w:rFonts w:hint="eastAsia" w:ascii="宋体"/>
                      <w:sz w:val="24"/>
                      <w:szCs w:val="24"/>
                    </w:rPr>
                  </w:pPr>
                </w:p>
              </w:tc>
            </w:tr>
            <w:tr>
              <w:tblPrEx>
                <w:tblLayout w:type="fixed"/>
                <w:tblCellMar>
                  <w:top w:w="45" w:type="dxa"/>
                  <w:left w:w="45" w:type="dxa"/>
                  <w:bottom w:w="45" w:type="dxa"/>
                  <w:right w:w="45" w:type="dxa"/>
                </w:tblCellMar>
              </w:tblPrEx>
              <w:trPr>
                <w:trHeight w:val="60" w:hRule="atLeast"/>
                <w:jc w:val="center"/>
              </w:trPr>
              <w:tc>
                <w:tcPr>
                  <w:tcW w:w="8057" w:type="dxa"/>
                  <w:shd w:val="clear" w:color="auto" w:fill="FF3300"/>
                  <w:vAlign w:val="center"/>
                </w:tcPr>
                <w:p>
                  <w:pPr>
                    <w:rPr>
                      <w:rFonts w:hint="eastAsia" w:ascii="宋体"/>
                      <w:sz w:val="24"/>
                      <w:szCs w:val="24"/>
                    </w:rPr>
                  </w:pPr>
                </w:p>
              </w:tc>
            </w:tr>
            <w:tr>
              <w:tblPrEx>
                <w:tblLayout w:type="fixed"/>
                <w:tblCellMar>
                  <w:top w:w="45" w:type="dxa"/>
                  <w:left w:w="45" w:type="dxa"/>
                  <w:bottom w:w="45" w:type="dxa"/>
                  <w:right w:w="45" w:type="dxa"/>
                </w:tblCellMar>
              </w:tblPrEx>
              <w:trPr>
                <w:trHeight w:val="241" w:hRule="atLeast"/>
                <w:jc w:val="center"/>
              </w:trPr>
              <w:tc>
                <w:tcPr>
                  <w:tcW w:w="8057" w:type="dxa"/>
                  <w:shd w:val="clear" w:color="auto" w:fill="auto"/>
                  <w:vAlign w:val="center"/>
                </w:tcPr>
                <w:p>
                  <w:pPr>
                    <w:rPr>
                      <w:rFonts w:hint="eastAsia" w:ascii="宋体"/>
                      <w:sz w:val="24"/>
                      <w:szCs w:val="24"/>
                    </w:rPr>
                  </w:pPr>
                </w:p>
              </w:tc>
            </w:tr>
          </w:tbl>
          <w:p>
            <w:pPr>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16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center"/>
              <w:rPr>
                <w:rFonts w:hint="eastAsia" w:ascii="宋体" w:hAnsi="宋体" w:eastAsia="宋体" w:cs="宋体"/>
                <w:b/>
                <w:color w:val="333333"/>
                <w:sz w:val="27"/>
                <w:szCs w:val="27"/>
                <w:u w:val="none"/>
              </w:rPr>
            </w:pPr>
            <w:r>
              <w:rPr>
                <w:rFonts w:hint="eastAsia" w:ascii="宋体" w:hAnsi="宋体" w:eastAsia="宋体" w:cs="宋体"/>
                <w:b/>
                <w:color w:val="333333"/>
                <w:kern w:val="0"/>
                <w:sz w:val="27"/>
                <w:szCs w:val="27"/>
                <w:u w:val="none"/>
                <w:lang w:val="en-US" w:eastAsia="zh-CN" w:bidi="ar"/>
              </w:rPr>
              <w:t>关于印发《杭州市新引进应届高</w:t>
            </w:r>
            <w:bookmarkStart w:id="0" w:name="_GoBack"/>
            <w:bookmarkEnd w:id="0"/>
            <w:r>
              <w:rPr>
                <w:rFonts w:hint="eastAsia" w:ascii="宋体" w:hAnsi="宋体" w:eastAsia="宋体" w:cs="宋体"/>
                <w:b/>
                <w:color w:val="333333"/>
                <w:kern w:val="0"/>
                <w:sz w:val="27"/>
                <w:szCs w:val="27"/>
                <w:u w:val="none"/>
                <w:lang w:val="en-US" w:eastAsia="zh-CN" w:bidi="ar"/>
              </w:rPr>
              <w:t>学历毕业生生活补贴发放实施办法》的通知</w:t>
            </w:r>
          </w:p>
        </w:tc>
      </w:tr>
    </w:tbl>
    <w:p>
      <w:pPr>
        <w:rPr>
          <w:vanish/>
          <w:sz w:val="24"/>
          <w:szCs w:val="24"/>
        </w:rPr>
      </w:pPr>
    </w:p>
    <w:tbl>
      <w:tblPr>
        <w:tblStyle w:val="6"/>
        <w:tblW w:w="8281" w:type="dxa"/>
        <w:jc w:val="center"/>
        <w:tblInd w:w="43" w:type="dxa"/>
        <w:shd w:val="clear" w:color="auto" w:fill="auto"/>
        <w:tblLayout w:type="fixed"/>
        <w:tblCellMar>
          <w:top w:w="30" w:type="dxa"/>
          <w:left w:w="30" w:type="dxa"/>
          <w:bottom w:w="30" w:type="dxa"/>
          <w:right w:w="30" w:type="dxa"/>
        </w:tblCellMar>
      </w:tblPr>
      <w:tblGrid>
        <w:gridCol w:w="7609"/>
        <w:gridCol w:w="672"/>
      </w:tblGrid>
      <w:tr>
        <w:tblPrEx>
          <w:shd w:val="clear" w:color="auto" w:fill="auto"/>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15" w:lineRule="atLeast"/>
              <w:jc w:val="left"/>
            </w:pPr>
            <w:r>
              <w:rPr>
                <w:rFonts w:ascii="宋体" w:hAnsi="宋体" w:eastAsia="宋体" w:cs="宋体"/>
                <w:kern w:val="0"/>
                <w:sz w:val="24"/>
                <w:szCs w:val="24"/>
                <w:lang w:val="en-US" w:eastAsia="zh-CN" w:bidi="ar"/>
              </w:rPr>
              <w:t> </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15" w:lineRule="atLeast"/>
              <w:jc w:val="left"/>
            </w:pPr>
            <w:r>
              <w:rPr>
                <w:rFonts w:ascii="宋体" w:hAnsi="宋体" w:eastAsia="宋体" w:cs="宋体"/>
                <w:kern w:val="0"/>
                <w:sz w:val="24"/>
                <w:szCs w:val="24"/>
                <w:lang w:val="en-US" w:eastAsia="zh-CN" w:bidi="ar"/>
              </w:rPr>
              <w:t>各区、县（市）人力社保局、财政局，西湖风景名胜区、经济技术开发区、大江东产业集聚区人力社保局、财政局，市各有关单位：</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现将《杭州市新引进应届高学历毕业生生活补贴发放实施办法》印发给你们，请遵照执行。</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 </w:t>
            </w:r>
          </w:p>
        </w:tc>
      </w:tr>
      <w:tr>
        <w:tblPrEx>
          <w:tblLayout w:type="fixed"/>
          <w:tblCellMar>
            <w:top w:w="30" w:type="dxa"/>
            <w:left w:w="30" w:type="dxa"/>
            <w:bottom w:w="30" w:type="dxa"/>
            <w:right w:w="30" w:type="dxa"/>
          </w:tblCellMar>
        </w:tblPrEx>
        <w:trPr>
          <w:jc w:val="center"/>
        </w:trPr>
        <w:tc>
          <w:tcPr>
            <w:tcW w:w="760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uto"/>
              <w:ind w:left="0" w:firstLine="400"/>
              <w:jc w:val="righ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杭州市人力资源和社会保障局</w:t>
            </w:r>
          </w:p>
        </w:tc>
        <w:tc>
          <w:tcPr>
            <w:tcW w:w="672" w:type="dxa"/>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 </w:t>
            </w:r>
          </w:p>
        </w:tc>
      </w:tr>
      <w:tr>
        <w:tblPrEx>
          <w:tblLayout w:type="fixed"/>
          <w:tblCellMar>
            <w:top w:w="30" w:type="dxa"/>
            <w:left w:w="30" w:type="dxa"/>
            <w:bottom w:w="30" w:type="dxa"/>
            <w:right w:w="30" w:type="dxa"/>
          </w:tblCellMar>
        </w:tblPrEx>
        <w:trPr>
          <w:jc w:val="center"/>
        </w:trPr>
        <w:tc>
          <w:tcPr>
            <w:tcW w:w="760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uto"/>
              <w:ind w:left="0" w:firstLine="400"/>
              <w:jc w:val="righ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杭州市财政局</w:t>
            </w:r>
          </w:p>
        </w:tc>
        <w:tc>
          <w:tcPr>
            <w:tcW w:w="672" w:type="dxa"/>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 </w:t>
            </w:r>
          </w:p>
        </w:tc>
      </w:tr>
      <w:tr>
        <w:tblPrEx>
          <w:tblLayout w:type="fixed"/>
          <w:tblCellMar>
            <w:top w:w="30" w:type="dxa"/>
            <w:left w:w="30" w:type="dxa"/>
            <w:bottom w:w="30" w:type="dxa"/>
            <w:right w:w="30" w:type="dxa"/>
          </w:tblCellMar>
        </w:tblPrEx>
        <w:trPr>
          <w:jc w:val="center"/>
        </w:trPr>
        <w:tc>
          <w:tcPr>
            <w:tcW w:w="760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uto"/>
              <w:ind w:left="0" w:firstLine="400"/>
              <w:jc w:val="righ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2017年4月11日</w:t>
            </w:r>
          </w:p>
        </w:tc>
        <w:tc>
          <w:tcPr>
            <w:tcW w:w="672" w:type="dxa"/>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 </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 </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rPr>
                <w:rFonts w:hint="eastAsia" w:ascii="宋体" w:hAnsi="宋体" w:eastAsia="宋体" w:cs="宋体"/>
                <w:sz w:val="21"/>
                <w:szCs w:val="21"/>
                <w:u w:val="none"/>
              </w:rPr>
            </w:pP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uto"/>
              <w:ind w:left="0" w:firstLine="400"/>
              <w:jc w:val="center"/>
              <w:rPr>
                <w:rFonts w:hint="eastAsia" w:ascii="宋体" w:hAnsi="宋体" w:eastAsia="宋体" w:cs="宋体"/>
                <w:sz w:val="21"/>
                <w:szCs w:val="21"/>
                <w:u w:val="none"/>
              </w:rPr>
            </w:pPr>
            <w:r>
              <w:rPr>
                <w:rStyle w:val="3"/>
                <w:rFonts w:hint="eastAsia" w:ascii="宋体" w:hAnsi="宋体" w:eastAsia="宋体" w:cs="宋体"/>
                <w:kern w:val="0"/>
                <w:sz w:val="24"/>
                <w:szCs w:val="24"/>
                <w:u w:val="none"/>
                <w:lang w:val="en-US" w:eastAsia="zh-CN" w:bidi="ar"/>
              </w:rPr>
              <w:t>杭州市新引进应届高学历毕业生生活补贴发放实施办法</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为全面贯彻落实中共杭州市委《关于深化人才发展体制机制改革完善人才新政的若干意见》（市委〔2016〕14号）关于“按相关规定向新引进到杭州工作的应届全日制硕士研究生以上学历的人员和归国留学人员发放一次性生活（或租房）补贴”的要求，特制定本实施办法。</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lang w:val="en-US" w:eastAsia="zh-CN" w:bidi="ar"/>
              </w:rPr>
              <w:t>一、申请条件与补贴标准</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本实施办法所称应届高学历毕业生是指应届全日制硕士研究生及以上学历人员、经国家教育部留学服务中心认证的应届国（境）外硕士研究生及以上学历归国留学人员。</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本实施办法所称我市用人单位指市属用人单位和区（县、市）属用人单位。其中，市属用人单位指市本级所属行政、事业单位和税收收入缴入市本级国库的各类企业;区（县、市）属用人单位指各区（县、市）所属行政、事业单位和税收收入缴入区（县、市）级国库的各类企业。</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（一）申请需同时满足以下条件</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1.遵纪守法，具有良好的职业道德；</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2.毕业时间在2016年11月2日（含）之后（以学历证书上载明时间起算。其中，归国留学人员以教育部留学服务中心的学历学位认证书上载明的毕业时间起算，下同）;</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3.毕业后一年内在我市用人单位就业或自主创业;</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4.按规定缴纳社会保险。</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（二）补贴标准</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硕士研究生每人2万元，博士研究生每人3万元。</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lang w:val="en-US" w:eastAsia="zh-CN" w:bidi="ar"/>
              </w:rPr>
              <w:t>二、申请材料</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（一）杭州市新引进应届高学历毕业生生活补贴申请表（至杭州市高层次人才分类认定申报管理系统进行填写并打印）;</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（二）身份证明（原件、复印件）；</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（三）学历证书（原件、复印件）和《教育部学历证书电子注册备案表》（其中，归国留学人员提供国家教育部留学服务中心出具的学历学位认证书）;</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（四）在所在单位参保的社会保险参保证明。</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lang w:val="en-US" w:eastAsia="zh-CN" w:bidi="ar"/>
              </w:rPr>
              <w:t>三、办理流程</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（一）申请时限。申请时限为自毕业之日起一年内。</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二）材料提交。申请人向所在用人单位提交材料，用人单位对材料的真实性进行核实后，按用人单位纳税地（行政、事业单位按隶属关系）通过杭州市高层次人才分类认定申报管理系统进行申报。申报后由申请人本人持申请材料到相应各级人力社保部门受理。市属用人单位向市人力社保部门提交相关申报材料，区（县、市）属用人单位向所在区（县、市）人力社保部门提交相关申报材料。</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（三）审核。各受理部门在2个工作日内完成审核。</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（四）发放。审核通过后，由申请人本人到杭州银行（杭州人才服务银行）指定网点办理杭州银行人才专属卡，办理完成后7个工作日内一次性发放生活补贴。</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lang w:val="en-US" w:eastAsia="zh-CN" w:bidi="ar"/>
              </w:rPr>
              <w:t>四、部门职责</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（一）市委人才办负责总体协调。</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（二）市、区（县、市）人力社保部门负责新引进应届高学历毕业生生活补贴发放工作的受理和资格审核。</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三）市、区（县、市）财政部门负责各自承担范围内补贴资金的预算、协调和结算，通过预算单位以授权支付形式委托杭州银行（杭州人才服务银行）代发生活补贴，生活补贴直接拨付到个人账户。市属用人单位新引进应届高学历毕业生生活补贴经费由市财政全额承担。区（县、市）属用人单位新引进应届高学历毕业生生活补贴经费由市和区（县、市）、人才平台两级财政各承担50%，由区（县、市）财政先行全额拨付，市财政承担部分根据实际拨付情况由市财政与区（县、市）财政进行年终结算。</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（四）杭州银行（杭州人才服务银行）受委托负责新引进应届高学历毕业生生活补贴的一次性发放。</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（五）各级人才办、财政和人力社保部门会同相关部门（单位）加强对财政补贴资金的监督检查。</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lang w:val="en-US" w:eastAsia="zh-CN" w:bidi="ar"/>
              </w:rPr>
              <w:t>五、其他</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（一）申请人只能享受一次新引进应届高学历毕业生生活补贴，不得重复申报。凡提供虚假材料骗取新引进应届高学历毕业生生活补贴的，一经发现即取消申请资格，并保留追究其法律责任的权利。</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（二）申请人属于劳务派遣人员的，由实际用工单位进行审核申报，申报时需同时提供实际用工单位与劳务派遣公司签订的有效期内劳务派遣合同复印件。</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（三）区（县、市）已出台符合本实施办法申请条件的相关生活补贴政策的，在统一按本实施办法执行的基础上，由区（县、市）按照就高不就低的原则自行制定衔接操作细则。</w:t>
            </w:r>
          </w:p>
        </w:tc>
      </w:tr>
      <w:tr>
        <w:tblPrEx>
          <w:tblLayout w:type="fixed"/>
          <w:tblCellMar>
            <w:top w:w="30" w:type="dxa"/>
            <w:left w:w="30" w:type="dxa"/>
            <w:bottom w:w="30" w:type="dxa"/>
            <w:right w:w="30" w:type="dxa"/>
          </w:tblCellMar>
        </w:tblPrEx>
        <w:trPr>
          <w:jc w:val="center"/>
        </w:trPr>
        <w:tc>
          <w:tcPr>
            <w:tcW w:w="8281" w:type="dxa"/>
            <w:gridSpan w:val="2"/>
            <w:shd w:val="clear" w:color="auto" w:fill="auto"/>
            <w:vAlign w:val="center"/>
          </w:tcPr>
          <w:p>
            <w:pPr>
              <w:keepNext w:val="0"/>
              <w:keepLines w:val="0"/>
              <w:widowControl/>
              <w:suppressLineNumbers w:val="0"/>
              <w:spacing w:line="384" w:lineRule="auto"/>
              <w:ind w:left="0" w:firstLine="400"/>
              <w:jc w:val="left"/>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（四）本办法由市人力社保局负责解释，自2017年5月31日起施行。</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81D89"/>
    <w:rsid w:val="02F63611"/>
    <w:rsid w:val="24981D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333232"/>
      <w:u w:val="none"/>
    </w:rPr>
  </w:style>
  <w:style w:type="character" w:styleId="5">
    <w:name w:val="Hyperlink"/>
    <w:basedOn w:val="2"/>
    <w:qFormat/>
    <w:uiPriority w:val="0"/>
    <w:rPr>
      <w:color w:val="333232"/>
      <w:u w:val="none"/>
    </w:rPr>
  </w:style>
  <w:style w:type="character" w:customStyle="1" w:styleId="7">
    <w:name w:val="hover28"/>
    <w:basedOn w:val="2"/>
    <w:qFormat/>
    <w:uiPriority w:val="0"/>
    <w:rPr>
      <w:color w:val="FF0000"/>
    </w:rPr>
  </w:style>
  <w:style w:type="character" w:customStyle="1" w:styleId="8">
    <w:name w:val="gray"/>
    <w:basedOn w:val="2"/>
    <w:qFormat/>
    <w:uiPriority w:val="0"/>
    <w:rPr>
      <w:b/>
      <w:color w:val="424242"/>
      <w:sz w:val="21"/>
      <w:szCs w:val="21"/>
    </w:rPr>
  </w:style>
  <w:style w:type="character" w:customStyle="1" w:styleId="9">
    <w:name w:val="orange"/>
    <w:basedOn w:val="2"/>
    <w:qFormat/>
    <w:uiPriority w:val="0"/>
    <w:rPr>
      <w:color w:val="E04D0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2017-12-21T09:37:00Z</dcterms:created>
  <dc:creator>吴淑倩</dc:creator>
  <cp:lastModifiedBy>吴淑倩</cp:lastModifiedBy>
  <dcterms:modified xsi:type="dcterms:W3CDTF">2017-12-29T01:02:23Z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